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9" w:rsidRPr="00E2240B" w:rsidRDefault="00E94639" w:rsidP="00E94639">
      <w:pPr>
        <w:rPr>
          <w:b/>
          <w:sz w:val="44"/>
          <w:szCs w:val="44"/>
        </w:rPr>
      </w:pPr>
      <w:r w:rsidRPr="00E2240B">
        <w:rPr>
          <w:b/>
          <w:sz w:val="44"/>
          <w:szCs w:val="44"/>
        </w:rPr>
        <w:t>Biel Tytanowa RC 8</w:t>
      </w:r>
      <w:r>
        <w:rPr>
          <w:b/>
          <w:sz w:val="44"/>
          <w:szCs w:val="44"/>
        </w:rPr>
        <w:t>3</w:t>
      </w:r>
      <w:r w:rsidRPr="00E2240B">
        <w:rPr>
          <w:b/>
          <w:sz w:val="44"/>
          <w:szCs w:val="44"/>
        </w:rPr>
        <w:t>3</w:t>
      </w:r>
    </w:p>
    <w:p w:rsidR="00E94639" w:rsidRDefault="00E94639" w:rsidP="00E94639"/>
    <w:p w:rsidR="00E94639" w:rsidRPr="00E2240B" w:rsidRDefault="00E94639" w:rsidP="00E94639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E94639" w:rsidRDefault="00E94639" w:rsidP="00E94639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glinem. Ponadto o</w:t>
      </w:r>
      <w:r w:rsidRPr="00E0183D">
        <w:t xml:space="preserve">brabiany </w:t>
      </w:r>
      <w:r>
        <w:t xml:space="preserve">jest </w:t>
      </w:r>
      <w:r w:rsidRPr="00E0183D">
        <w:t>powierzchniowo związkami glinu oraz modyfikowany związkami</w:t>
      </w:r>
      <w:r>
        <w:t xml:space="preserve"> organicznymi  (zw. cyrkonu). Dzięki takim działaniom zapewnione są wyśmienite właściwości hydrofobowe i łatwo jest </w:t>
      </w:r>
      <w:proofErr w:type="spellStart"/>
      <w:r>
        <w:t>dyspergowalny</w:t>
      </w:r>
      <w:proofErr w:type="spellEnd"/>
      <w:r>
        <w:t xml:space="preserve">. Pigment należy do klasy „bardzo wytrzymałych” na światło </w:t>
      </w:r>
      <w:r>
        <w:br/>
        <w:t>i warunki atmosferyczne.</w:t>
      </w:r>
    </w:p>
    <w:p w:rsidR="00E94639" w:rsidRDefault="00E94639" w:rsidP="00E94639"/>
    <w:p w:rsidR="00E94639" w:rsidRPr="00E2240B" w:rsidRDefault="00E94639" w:rsidP="00E94639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Farby dyspersyjne (zarówno wewnętrzne jak i zewnętrzne)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Lakiery i podkłady przemysłowe jak i dekoracyjne (w systemach wodnych jak i rozpuszczalnikowych)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Farby, lakiery i podkłady w postaci sypkiej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Dyspersje o wysokim połysku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Farby o wysokiej odporności termicznej – np. do grzejników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Powłoki i lakiery typu „</w:t>
      </w:r>
      <w:proofErr w:type="spellStart"/>
      <w:r>
        <w:t>coil-coatings</w:t>
      </w:r>
      <w:proofErr w:type="spellEnd"/>
      <w:r>
        <w:t>”, do powlekania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Farby i powłoki do wykończeń sprzętu elektrycznego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>Tusze drukarskie</w:t>
      </w:r>
    </w:p>
    <w:p w:rsidR="00E94639" w:rsidRDefault="00E94639" w:rsidP="00E94639">
      <w:pPr>
        <w:pStyle w:val="Akapitzlist"/>
        <w:numPr>
          <w:ilvl w:val="0"/>
          <w:numId w:val="1"/>
        </w:numPr>
      </w:pPr>
      <w:r>
        <w:t xml:space="preserve">Farby typu „Plaster </w:t>
      </w:r>
      <w:proofErr w:type="spellStart"/>
      <w:r>
        <w:t>paints</w:t>
      </w:r>
      <w:proofErr w:type="spellEnd"/>
      <w:r>
        <w:t>” normalne jak również oparte na żywicach syntetycznych</w:t>
      </w:r>
    </w:p>
    <w:p w:rsidR="00E94639" w:rsidRDefault="00E94639" w:rsidP="00E94639"/>
    <w:p w:rsidR="00E94639" w:rsidRPr="00E2240B" w:rsidRDefault="00E94639" w:rsidP="00E94639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min 94 %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R2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max 21 g / 100g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max 0,5 %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7.0 – 8,0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max 0,01 %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Pr="00E2240B" w:rsidRDefault="00E94639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min 97.5</w:t>
            </w:r>
          </w:p>
        </w:tc>
      </w:tr>
      <w:tr w:rsidR="00E94639" w:rsidTr="00A60E80">
        <w:trPr>
          <w:jc w:val="center"/>
        </w:trPr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E94639" w:rsidRDefault="00E94639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E94639" w:rsidRDefault="00E94639" w:rsidP="00E94639"/>
    <w:p w:rsidR="00E94639" w:rsidRPr="00E2240B" w:rsidRDefault="00E94639" w:rsidP="00E94639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E94639" w:rsidRDefault="00E94639" w:rsidP="00E94639">
      <w:r>
        <w:rPr>
          <w:b/>
        </w:rPr>
        <w:t>Biel tytanowa RC  83</w:t>
      </w:r>
      <w:r w:rsidRPr="00E2240B">
        <w:rPr>
          <w:b/>
        </w:rPr>
        <w:t>3</w:t>
      </w:r>
      <w:r>
        <w:t xml:space="preserve"> pakowana jest w:</w:t>
      </w:r>
    </w:p>
    <w:p w:rsidR="00E94639" w:rsidRDefault="00E94639" w:rsidP="00E94639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E94639" w:rsidRDefault="00E94639" w:rsidP="00E94639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5C17F3" w:rsidRDefault="00E94639" w:rsidP="00E94639">
      <w:pPr>
        <w:pStyle w:val="Akapitzlist"/>
        <w:numPr>
          <w:ilvl w:val="0"/>
          <w:numId w:val="2"/>
        </w:numPr>
      </w:pPr>
      <w:r>
        <w:t>Pełne samochody 23 tony, na życzenie</w:t>
      </w:r>
    </w:p>
    <w:sectPr w:rsidR="005C17F3" w:rsidSect="00E2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639"/>
    <w:rsid w:val="005C17F3"/>
    <w:rsid w:val="00E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39"/>
    <w:pPr>
      <w:ind w:left="720"/>
      <w:contextualSpacing/>
    </w:pPr>
  </w:style>
  <w:style w:type="table" w:styleId="Tabela-Siatka">
    <w:name w:val="Table Grid"/>
    <w:basedOn w:val="Standardowy"/>
    <w:uiPriority w:val="59"/>
    <w:rsid w:val="00E9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2012-05-09T09:13:00Z</dcterms:created>
  <dcterms:modified xsi:type="dcterms:W3CDTF">2012-05-09T09:13:00Z</dcterms:modified>
</cp:coreProperties>
</file>